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sub_1800"/>
    <w:p w14:paraId="1D75862A" w14:textId="77777777" w:rsidR="00434F68" w:rsidRDefault="00434F68" w:rsidP="00434F68">
      <w:pPr>
        <w:pStyle w:val="1"/>
      </w:pPr>
      <w:r>
        <w:fldChar w:fldCharType="begin"/>
      </w:r>
      <w:r>
        <w:instrText>HYPERLINK "https://internet.garant.ru/document/redirect/408323431/0"</w:instrText>
      </w:r>
      <w:r>
        <w:fldChar w:fldCharType="separate"/>
      </w:r>
      <w:r>
        <w:rPr>
          <w:rStyle w:val="a3"/>
          <w:b w:val="0"/>
          <w:bCs w:val="0"/>
        </w:rPr>
        <w:t>Постановление Правительства РФ от 28 декабря 2023 г. N 2353 "О Программе государственных гарантий бесплатного оказания гражданам медицинской помощи на 2024 год и на плановый период 2025 и 2026 годов"</w:t>
      </w:r>
      <w:r>
        <w:fldChar w:fldCharType="end"/>
      </w:r>
    </w:p>
    <w:p w14:paraId="44B6A04E" w14:textId="77777777" w:rsidR="005A7D78" w:rsidRDefault="005A7D78" w:rsidP="005A7D78">
      <w:pPr>
        <w:pStyle w:val="1"/>
      </w:pPr>
      <w:r>
        <w:t>VIII. Критерии доступности и качества медицинской помощи</w:t>
      </w:r>
    </w:p>
    <w:bookmarkEnd w:id="0"/>
    <w:p w14:paraId="2D30A335" w14:textId="77777777" w:rsidR="005A7D78" w:rsidRDefault="005A7D78" w:rsidP="005A7D78"/>
    <w:p w14:paraId="3DF1FE0C" w14:textId="77777777" w:rsidR="005A7D78" w:rsidRDefault="005A7D78" w:rsidP="005A7D78">
      <w:r>
        <w:t>Критериями доступности медицинской помощи являются:</w:t>
      </w:r>
    </w:p>
    <w:p w14:paraId="07ABEB61" w14:textId="77777777" w:rsidR="005A7D78" w:rsidRDefault="005A7D78" w:rsidP="005A7D78">
      <w:r>
        <w:t>удовлетворенность населения доступностью медицинской помощи, в том числе городского и сельского населения (процентов числа опрошенных);</w:t>
      </w:r>
    </w:p>
    <w:p w14:paraId="6971939F" w14:textId="77777777" w:rsidR="005A7D78" w:rsidRDefault="005A7D78" w:rsidP="005A7D78">
      <w:r>
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гарантий;</w:t>
      </w:r>
    </w:p>
    <w:p w14:paraId="45391B1F" w14:textId="77777777" w:rsidR="005A7D78" w:rsidRDefault="005A7D78" w:rsidP="005A7D78">
      <w:r>
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гарантий;</w:t>
      </w:r>
    </w:p>
    <w:p w14:paraId="3AD23E5E" w14:textId="77777777" w:rsidR="005A7D78" w:rsidRDefault="005A7D78" w:rsidP="005A7D78">
      <w:r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страхования;</w:t>
      </w:r>
    </w:p>
    <w:p w14:paraId="2EAF6847" w14:textId="77777777" w:rsidR="005A7D78" w:rsidRDefault="005A7D78" w:rsidP="005A7D78">
      <w: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населению;</w:t>
      </w:r>
    </w:p>
    <w:p w14:paraId="1A403440" w14:textId="77777777" w:rsidR="005A7D78" w:rsidRDefault="005A7D78" w:rsidP="005A7D78">
      <w:r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жительства;</w:t>
      </w:r>
    </w:p>
    <w:p w14:paraId="2C214787" w14:textId="77777777" w:rsidR="005A7D78" w:rsidRDefault="005A7D78" w:rsidP="005A7D78">
      <w:r>
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соглашения;</w:t>
      </w:r>
    </w:p>
    <w:p w14:paraId="13C1DC70" w14:textId="77777777" w:rsidR="005A7D78" w:rsidRDefault="005A7D78" w:rsidP="005A7D78">
      <w: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14:paraId="0F3278BA" w14:textId="77777777" w:rsidR="005A7D78" w:rsidRDefault="005A7D78" w:rsidP="005A7D78">
      <w:r>
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наблюдения;</w:t>
      </w:r>
    </w:p>
    <w:p w14:paraId="1E4E285A" w14:textId="77777777" w:rsidR="005A7D78" w:rsidRDefault="005A7D78" w:rsidP="005A7D78">
      <w:r>
        <w:t>доля граждан, обеспеченных лекарственными препаратами, в общем количестве льготных категорий граждан;</w:t>
      </w:r>
    </w:p>
    <w:p w14:paraId="376EC1B0" w14:textId="77777777" w:rsidR="005A7D78" w:rsidRDefault="005A7D78" w:rsidP="005A7D78">
      <w:r>
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крови.</w:t>
      </w:r>
    </w:p>
    <w:p w14:paraId="2F09513C" w14:textId="77777777" w:rsidR="005A7D78" w:rsidRDefault="005A7D78" w:rsidP="005A7D78">
      <w:r>
        <w:t>Критериями качества медицинской помощи являются:</w:t>
      </w:r>
    </w:p>
    <w:p w14:paraId="137E2B8A" w14:textId="77777777" w:rsidR="005A7D78" w:rsidRDefault="005A7D78" w:rsidP="005A7D78">
      <w: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года;</w:t>
      </w:r>
    </w:p>
    <w:p w14:paraId="6A58FE35" w14:textId="77777777" w:rsidR="005A7D78" w:rsidRDefault="005A7D78" w:rsidP="005A7D78">
      <w: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несовершеннолетних;</w:t>
      </w:r>
    </w:p>
    <w:p w14:paraId="731D367B" w14:textId="77777777" w:rsidR="005A7D78" w:rsidRDefault="005A7D78" w:rsidP="005A7D78">
      <w:r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</w:r>
    </w:p>
    <w:p w14:paraId="42BFF6DB" w14:textId="77777777" w:rsidR="005A7D78" w:rsidRDefault="005A7D78" w:rsidP="005A7D78">
      <w:r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осмотры;</w:t>
      </w:r>
    </w:p>
    <w:p w14:paraId="596E183B" w14:textId="77777777" w:rsidR="005A7D78" w:rsidRDefault="005A7D78" w:rsidP="005A7D78">
      <w:r>
        <w:lastRenderedPageBreak/>
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новообразованиями;</w:t>
      </w:r>
    </w:p>
    <w:p w14:paraId="6FA4861E" w14:textId="77777777" w:rsidR="005A7D78" w:rsidRDefault="005A7D78" w:rsidP="005A7D78">
      <w:r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миокарда;</w:t>
      </w:r>
    </w:p>
    <w:p w14:paraId="15BA2250" w14:textId="77777777" w:rsidR="005A7D78" w:rsidRDefault="005A7D78" w:rsidP="005A7D78">
      <w:r>
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проведению;</w:t>
      </w:r>
    </w:p>
    <w:p w14:paraId="20C322D1" w14:textId="77777777" w:rsidR="005A7D78" w:rsidRDefault="005A7D78" w:rsidP="005A7D78">
      <w:r>
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14:paraId="791B77E6" w14:textId="77777777" w:rsidR="005A7D78" w:rsidRDefault="005A7D78" w:rsidP="005A7D78">
      <w:r>
        <w:t xml:space="preserve">доля пациентов с острым инфарктом миокарда, которым проведена </w:t>
      </w:r>
      <w:proofErr w:type="spellStart"/>
      <w:r>
        <w:t>тромболитическая</w:t>
      </w:r>
      <w:proofErr w:type="spellEnd"/>
      <w:r>
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проведению;</w:t>
      </w:r>
    </w:p>
    <w:p w14:paraId="2DD3B9CD" w14:textId="77777777" w:rsidR="005A7D78" w:rsidRDefault="005A7D78" w:rsidP="005A7D78">
      <w:r>
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Программой;</w:t>
      </w:r>
    </w:p>
    <w:p w14:paraId="2E8BC211" w14:textId="77777777" w:rsidR="005A7D78" w:rsidRDefault="005A7D78" w:rsidP="005A7D78">
      <w: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болезнями;</w:t>
      </w:r>
    </w:p>
    <w:p w14:paraId="42A0E2CA" w14:textId="77777777" w:rsidR="005A7D78" w:rsidRDefault="005A7D78" w:rsidP="005A7D78">
      <w:r>
        <w:t xml:space="preserve">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заболевания;</w:t>
      </w:r>
    </w:p>
    <w:p w14:paraId="31292657" w14:textId="77777777" w:rsidR="005A7D78" w:rsidRDefault="005A7D78" w:rsidP="005A7D78">
      <w:r>
        <w:t xml:space="preserve">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центры;</w:t>
      </w:r>
    </w:p>
    <w:p w14:paraId="12B0B1F9" w14:textId="77777777" w:rsidR="005A7D78" w:rsidRDefault="005A7D78" w:rsidP="005A7D78">
      <w: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помощи;</w:t>
      </w:r>
    </w:p>
    <w:p w14:paraId="1FA8532F" w14:textId="77777777" w:rsidR="005A7D78" w:rsidRDefault="005A7D78" w:rsidP="005A7D78">
      <w:r>
        <w:t>доля пациентов, получающих лечебное (</w:t>
      </w:r>
      <w:proofErr w:type="spellStart"/>
      <w:r>
        <w:t>энтеральное</w:t>
      </w:r>
      <w:proofErr w:type="spellEnd"/>
      <w:r>
        <w:t>) питание в рамках оказания паллиативной медицинской помощи, в общем количестве пациентов, нуждающихся в лечебном (</w:t>
      </w:r>
      <w:proofErr w:type="spellStart"/>
      <w:r>
        <w:t>энтеральном</w:t>
      </w:r>
      <w:proofErr w:type="spellEnd"/>
      <w:r>
        <w:t>) питании при оказании паллиативной медицинской помощи;</w:t>
      </w:r>
    </w:p>
    <w:p w14:paraId="178BEE9E" w14:textId="77777777" w:rsidR="005A7D78" w:rsidRDefault="005A7D78" w:rsidP="005A7D78">
      <w:r>
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женщинам);</w:t>
      </w:r>
    </w:p>
    <w:p w14:paraId="6E4DF43E" w14:textId="77777777" w:rsidR="005A7D78" w:rsidRDefault="005A7D78" w:rsidP="005A7D78">
      <w:r>
        <w:t xml:space="preserve"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</w:t>
      </w:r>
      <w:hyperlink r:id="rId4" w:history="1">
        <w:r>
          <w:rPr>
            <w:rStyle w:val="a3"/>
          </w:rPr>
          <w:t>клинических рекомендаций</w:t>
        </w:r>
      </w:hyperlink>
      <w:r>
        <w:t xml:space="preserve"> "Женское бесплодие";</w:t>
      </w:r>
    </w:p>
    <w:p w14:paraId="3F9FEE5A" w14:textId="77777777" w:rsidR="005A7D78" w:rsidRDefault="005A7D78" w:rsidP="005A7D78">
      <w:r>
        <w:t>число циклов экстракорпорального оплодотворения, выполняемых медицинской организацией, в течение одного года;</w:t>
      </w:r>
    </w:p>
    <w:p w14:paraId="7587C809" w14:textId="77777777" w:rsidR="005A7D78" w:rsidRDefault="005A7D78" w:rsidP="005A7D78">
      <w:r>
        <w:t>доля случаев экстракорпорального оплодотворения, по результатам которого у женщины наступила беременность;</w:t>
      </w:r>
    </w:p>
    <w:p w14:paraId="7511FD33" w14:textId="77777777" w:rsidR="005A7D78" w:rsidRDefault="005A7D78" w:rsidP="005A7D78">
      <w:r>
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эмбрионов);</w:t>
      </w:r>
    </w:p>
    <w:p w14:paraId="4E2B7826" w14:textId="77777777" w:rsidR="005A7D78" w:rsidRDefault="005A7D78" w:rsidP="005A7D78">
      <w:r>
        <w:t xml:space="preserve">количество обоснованных жалоб, в том числе на несоблюдение сроков ожидания </w:t>
      </w:r>
      <w:r>
        <w:lastRenderedPageBreak/>
        <w:t>оказания и на отказ в оказании медицинской помощи, предоставляемой в рамках территориальной программы государственных гарантий;</w:t>
      </w:r>
    </w:p>
    <w:p w14:paraId="74AD35EC" w14:textId="77777777" w:rsidR="005A7D78" w:rsidRDefault="005A7D78" w:rsidP="005A7D78">
      <w:r>
        <w:t>охват диспансерным наблюдением граждан, состоящих на учете в медицинской организации с диагнозом "бронхиальная астма", процентов в год;</w:t>
      </w:r>
    </w:p>
    <w:p w14:paraId="33FAA30F" w14:textId="77777777" w:rsidR="005A7D78" w:rsidRDefault="005A7D78" w:rsidP="005A7D78">
      <w:r>
        <w:t>охват диспансерным наблюдением граждан, состоящих на учете в медицинской организации с диагнозом "хроническая обструктивная болезнь легких", процентов в год;</w:t>
      </w:r>
    </w:p>
    <w:p w14:paraId="314E47E6" w14:textId="77777777" w:rsidR="005A7D78" w:rsidRDefault="005A7D78" w:rsidP="005A7D78">
      <w:r>
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обеспечение;</w:t>
      </w:r>
    </w:p>
    <w:p w14:paraId="2329070B" w14:textId="77777777" w:rsidR="005A7D78" w:rsidRDefault="005A7D78" w:rsidP="005A7D78">
      <w:r>
        <w:t>охват диспансерным наблюдением граждан, состоящих на учете в медицинской организации с диагнозом "гипертоническая болезнь", процентов в год;</w:t>
      </w:r>
    </w:p>
    <w:p w14:paraId="77FFE538" w14:textId="77777777" w:rsidR="005A7D78" w:rsidRDefault="005A7D78" w:rsidP="005A7D78">
      <w:r>
        <w:t>охват диспансерным наблюдением граждан, состоящих на учете в медицинской организации с диагнозом "сахарный диабет", процентов в год;</w:t>
      </w:r>
    </w:p>
    <w:p w14:paraId="2F098656" w14:textId="77777777" w:rsidR="005A7D78" w:rsidRDefault="005A7D78" w:rsidP="005A7D78">
      <w:r>
        <w:t>количество пациентов с гепатитом С, получивших противовирусную терапию, на 100 тыс. населения в год;</w:t>
      </w:r>
    </w:p>
    <w:p w14:paraId="1B7367C9" w14:textId="77777777" w:rsidR="005A7D78" w:rsidRDefault="005A7D78" w:rsidP="005A7D78">
      <w:r>
        <w:t>доля ветеранов боевых действий, получивших паллиативную медицинскую помощь и (или) лечебное (</w:t>
      </w:r>
      <w:proofErr w:type="spellStart"/>
      <w:r>
        <w:t>энтеральное</w:t>
      </w:r>
      <w:proofErr w:type="spellEnd"/>
      <w:r>
        <w:t>) питание, из числа нуждающихся;</w:t>
      </w:r>
    </w:p>
    <w:p w14:paraId="35615BFE" w14:textId="77777777" w:rsidR="005A7D78" w:rsidRDefault="005A7D78" w:rsidP="005A7D78">
      <w:r>
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диагноза.</w:t>
      </w:r>
    </w:p>
    <w:p w14:paraId="7312EE2C" w14:textId="77777777" w:rsidR="005A7D78" w:rsidRDefault="005A7D78" w:rsidP="005A7D78">
      <w:r>
        <w:t>Территориальной программой государственных гарантий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14:paraId="3847F217" w14:textId="77777777" w:rsidR="005A7D78" w:rsidRDefault="005A7D78" w:rsidP="005A7D78">
      <w:r>
        <w:t xml:space="preserve">Целевые значения критериев доступности и качества медицинской помощи на соответствующий год не могут отличаться от значений показателей и (или) результатов, установленных в региональных проектах национальных проектов </w:t>
      </w:r>
      <w:hyperlink r:id="rId5" w:history="1">
        <w:r>
          <w:rPr>
            <w:rStyle w:val="a3"/>
          </w:rPr>
          <w:t>"Здравоохранение"</w:t>
        </w:r>
      </w:hyperlink>
      <w:r>
        <w:t xml:space="preserve"> и </w:t>
      </w:r>
      <w:hyperlink r:id="rId6" w:history="1">
        <w:r>
          <w:rPr>
            <w:rStyle w:val="a3"/>
          </w:rPr>
          <w:t>"Демография"</w:t>
        </w:r>
      </w:hyperlink>
      <w:r>
        <w:t>.</w:t>
      </w:r>
    </w:p>
    <w:p w14:paraId="3B1F299B" w14:textId="77777777" w:rsidR="005A7D78" w:rsidRDefault="005A7D78" w:rsidP="005A7D78">
      <w:r>
        <w:t>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Федерации.</w:t>
      </w:r>
    </w:p>
    <w:p w14:paraId="358C0390" w14:textId="77777777" w:rsidR="005A7D78" w:rsidRDefault="005A7D78" w:rsidP="005A7D78">
      <w:r>
        <w:t>Кроме того, субъектами Российской Федерации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14:paraId="57718680" w14:textId="77777777" w:rsidR="005A7D78" w:rsidRDefault="005A7D78" w:rsidP="005A7D78">
      <w:r>
        <w:t>Критериями доступности медицинской помощи, оказываемой федеральными медицинскими организациями, являются:</w:t>
      </w:r>
    </w:p>
    <w:p w14:paraId="3941B883" w14:textId="77777777" w:rsidR="005A7D78" w:rsidRDefault="005A7D78" w:rsidP="005A7D78">
      <w:r>
        <w:t xml:space="preserve">доля объема специализированной, в том числе высокотехнологичной, медицинской помощи с коэффициентом относительной </w:t>
      </w:r>
      <w:proofErr w:type="spellStart"/>
      <w:r>
        <w:t>затратоемкости</w:t>
      </w:r>
      <w:proofErr w:type="spellEnd"/>
      <w:r>
        <w:t>, равным 2 и более, в объеме оказанной специализированной, в том числе высокотехнологичной, медицинской помощи (для образовательных организаций высшего образования, осуществляющих оказание медицинской помощи в 2024 - 2026 годах не менее 60 процентов, для остальных федеральных медицинских организаций в 2024 году - не менее 70 процентов, в 2025 и 2026 годах - не менее 75 процентов);</w:t>
      </w:r>
    </w:p>
    <w:p w14:paraId="29505587" w14:textId="77777777" w:rsidR="005A7D78" w:rsidRDefault="005A7D78" w:rsidP="005A7D78">
      <w:r>
        <w:t>доля доходов за счет 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14:paraId="09EDF104" w14:textId="77777777" w:rsidR="005A7D78" w:rsidRDefault="005A7D78" w:rsidP="005A7D78"/>
    <w:p w14:paraId="2F438B10" w14:textId="77777777" w:rsidR="00122AB1" w:rsidRDefault="00122AB1"/>
    <w:sectPr w:rsidR="0012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EF"/>
    <w:rsid w:val="00122AB1"/>
    <w:rsid w:val="003A61EF"/>
    <w:rsid w:val="00434F68"/>
    <w:rsid w:val="005A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CFC75-4BB7-4833-B19A-A279F9FF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D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7D7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D78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7D7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0824401/0" TargetMode="External"/><Relationship Id="rId5" Type="http://schemas.openxmlformats.org/officeDocument/2006/relationships/hyperlink" Target="https://internet.garant.ru/document/redirect/72185920/0" TargetMode="External"/><Relationship Id="rId4" Type="http://schemas.openxmlformats.org/officeDocument/2006/relationships/hyperlink" Target="https://internet.garant.ru/document/redirect/40476302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1513</Words>
  <Characters>8629</Characters>
  <Application>Microsoft Office Word</Application>
  <DocSecurity>0</DocSecurity>
  <Lines>71</Lines>
  <Paragraphs>20</Paragraphs>
  <ScaleCrop>false</ScaleCrop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2024-02-22T07:46:00Z</dcterms:created>
  <dcterms:modified xsi:type="dcterms:W3CDTF">2024-02-22T07:47:00Z</dcterms:modified>
</cp:coreProperties>
</file>